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10426"/>
      </w:tblGrid>
      <w:tr>
        <w:tc>
          <w:tcPr>
            <w:tcW w:type="dxa" w:w="10426"/>
            <w:shd w:val="clear" w:color="auto" w:fill="E8613A"/>
            <w:tcBorders>
              <w:top w:val="nil"/>
              <w:left w:val="nil"/>
              <w:bottom w:val="nil"/>
              <w:right w:val="nil"/>
              <w:insideH w:val="nil"/>
              <w:insideV w:val="nil"/>
            </w:tcBorders>
          </w:tcPr>
          <w:p>
            <w:pPr>
              <w:spacing w:after="0" w:before="0"/>
            </w:pPr>
            <w:r>
              <w:rPr>
                <w:sz w:val="4"/>
              </w:rPr>
              <w:t xml:space="preserve"> </w:t>
            </w:r>
          </w:p>
        </w:tc>
      </w:tr>
    </w:tbl>
    <w:p>
      <w:pPr>
        <w:spacing w:before="160" w:after="40"/>
      </w:pPr>
      <w:r>
        <w:rPr>
          <w:rFonts w:ascii="Calibri" w:hAnsi="Calibri"/>
          <w:b/>
          <w:color w:val="13283B"/>
          <w:sz w:val="48"/>
        </w:rPr>
        <w:t>Executive Summary Template</w:t>
      </w:r>
    </w:p>
    <w:p>
      <w:pPr>
        <w:spacing w:after="200"/>
      </w:pPr>
      <w:r>
        <w:rPr>
          <w:i/>
          <w:color w:val="6B7280"/>
          <w:sz w:val="21"/>
        </w:rPr>
        <w:t>A one-page template for any board paper, investor pitch, business plan or proposal.</w:t>
      </w:r>
    </w:p>
    <w:tbl>
      <w:tblPr>
        <w:tblW w:type="auto" w:w="0"/>
        <w:tblLayout w:type="fixed"/>
        <w:tblLook w:firstColumn="1" w:firstRow="1" w:lastColumn="0" w:lastRow="0" w:noHBand="0" w:noVBand="1" w:val="04A0"/>
      </w:tblPr>
      <w:tblGrid>
        <w:gridCol w:w="102"/>
        <w:gridCol w:w="9638"/>
      </w:tblGrid>
      <w:tr>
        <w:tc>
          <w:tcPr>
            <w:tcW w:type="dxa" w:w="102"/>
            <w:shd w:val="clear" w:color="auto" w:fill="E8613A"/>
            <w:tcBorders>
              <w:top w:val="nil"/>
              <w:left w:val="nil"/>
              <w:bottom w:val="nil"/>
              <w:right w:val="nil"/>
              <w:insideH w:val="nil"/>
              <w:insideV w:val="nil"/>
            </w:tcBorders>
            <w:vAlign w:val="center"/>
            <w:tcMar>
              <w:top w:w="120" w:type="dxa"/>
              <w:bottom w:w="120" w:type="dxa"/>
              <w:left w:w="120" w:type="dxa"/>
              <w:right w:w="120" w:type="dxa"/>
            </w:tcMar>
          </w:tcPr>
          <w:p>
            <w:r>
              <w:rPr>
                <w:sz w:val="4"/>
              </w:rPr>
              <w:t xml:space="preserve"> </w:t>
            </w:r>
          </w:p>
        </w:tc>
        <w:tc>
          <w:tcPr>
            <w:tcW w:type="dxa" w:w="9638"/>
            <w:shd w:val="clear" w:color="auto" w:fill="F9F8F4"/>
            <w:tcBorders>
              <w:top w:val="nil"/>
              <w:left w:val="nil"/>
              <w:bottom w:val="nil"/>
              <w:right w:val="nil"/>
              <w:insideH w:val="nil"/>
              <w:insideV w:val="nil"/>
            </w:tcBorders>
            <w:vAlign w:val="center"/>
            <w:tcMar>
              <w:top w:w="120" w:type="dxa"/>
              <w:bottom w:w="120" w:type="dxa"/>
              <w:left w:w="120" w:type="dxa"/>
              <w:right w:w="120" w:type="dxa"/>
            </w:tcMar>
          </w:tcPr>
          <w:p>
            <w:pPr>
              <w:spacing w:after="40"/>
            </w:pPr>
            <w:r>
              <w:rPr>
                <w:b/>
                <w:color w:val="13283B"/>
                <w:sz w:val="17"/>
              </w:rPr>
              <w:t>HOW TO USE THIS TEMPLATE</w:t>
            </w:r>
          </w:p>
          <w:p>
            <w:pPr>
              <w:spacing w:after="0"/>
            </w:pPr>
            <w:r>
              <w:rPr>
                <w:color w:val="2B3D4F"/>
                <w:sz w:val="19"/>
              </w:rPr>
              <w:t>Write the full document first, then return to this page. Fill in each section in order. Replace every example with your own specifics. Aim for 250 to 500 words across all five sections. Read it aloud and ask "so what?" after every sentence. If you cannot answer, delete that sentence.</w:t>
            </w:r>
          </w:p>
        </w:tc>
      </w:tr>
    </w:tbl>
    <w:p>
      <w:pPr>
        <w:spacing w:after="80"/>
      </w:pPr>
    </w:p>
    <w:tbl>
      <w:tblPr>
        <w:tblW w:type="auto" w:w="0"/>
        <w:tblLayout w:type="fixed"/>
        <w:tblLook w:firstColumn="1" w:firstRow="1" w:lastColumn="0" w:lastRow="0" w:noHBand="0" w:noVBand="1" w:val="04A0"/>
      </w:tblPr>
      <w:tblGrid>
        <w:gridCol w:w="539"/>
        <w:gridCol w:w="9241"/>
      </w:tblGrid>
      <w:tr>
        <w:tc>
          <w:tcPr>
            <w:tcW w:type="dxa" w:w="539"/>
            <w:shd w:val="clear" w:color="auto" w:fill="13283B"/>
            <w:tcBorders>
              <w:top w:val="nil"/>
              <w:left w:val="nil"/>
              <w:bottom w:val="nil"/>
              <w:right w:val="nil"/>
              <w:insideH w:val="nil"/>
              <w:insideV w:val="nil"/>
            </w:tcBorders>
            <w:vAlign w:val="center"/>
            <w:tcMar>
              <w:top w:w="80" w:type="dxa"/>
              <w:bottom w:w="80" w:type="dxa"/>
              <w:left w:w="80" w:type="dxa"/>
              <w:right w:w="80" w:type="dxa"/>
            </w:tcMar>
          </w:tcPr>
          <w:p>
            <w:pPr>
              <w:jc w:val="center"/>
            </w:pPr>
            <w:r>
              <w:rPr>
                <w:b/>
                <w:color w:val="FFFFFF"/>
                <w:sz w:val="28"/>
              </w:rPr>
              <w:t>1</w:t>
            </w:r>
          </w:p>
        </w:tc>
        <w:tc>
          <w:tcPr>
            <w:tcW w:type="dxa" w:w="9241"/>
            <w:tcBorders>
              <w:top w:val="nil"/>
              <w:left w:val="nil"/>
              <w:bottom w:val="nil"/>
              <w:right w:val="nil"/>
              <w:insideH w:val="nil"/>
              <w:insideV w:val="nil"/>
            </w:tcBorders>
            <w:vAlign w:val="top"/>
            <w:tcMar>
              <w:top w:w="80" w:type="dxa"/>
              <w:bottom w:w="80" w:type="dxa"/>
              <w:left w:w="80" w:type="dxa"/>
              <w:right w:w="80" w:type="dxa"/>
            </w:tcMar>
          </w:tcPr>
          <w:p>
            <w:pPr>
              <w:spacing w:after="20"/>
            </w:pPr>
            <w:r>
              <w:rPr>
                <w:b/>
                <w:color w:val="13283B"/>
                <w:sz w:val="21"/>
              </w:rPr>
              <w:t>HEADLINE — one sentence</w:t>
            </w:r>
          </w:p>
          <w:p>
            <w:pPr>
              <w:spacing w:after="80"/>
            </w:pPr>
            <w:r>
              <w:rPr>
                <w:i/>
                <w:color w:val="6B7280"/>
                <w:sz w:val="17"/>
              </w:rPr>
              <w:t>The decision, recommendation or answer. Lead with the outcome. Include a number and a timeframe. First five words carry all the weight.</w:t>
            </w:r>
          </w:p>
          <w:p>
            <w:pPr>
              <w:spacing w:after="0"/>
            </w:pPr>
            <w:r>
              <w:rPr>
                <w:b/>
                <w:color w:val="E8613A"/>
                <w:sz w:val="15"/>
              </w:rPr>
              <w:t xml:space="preserve">EXAMPLE  </w:t>
            </w:r>
            <w:r>
              <w:rPr>
                <w:color w:val="2B3D4F"/>
                <w:sz w:val="19"/>
              </w:rPr>
              <w:t>Invest £40M in a new customer platform or lose £120M in revenue over three years.</w:t>
            </w:r>
          </w:p>
        </w:tc>
      </w:tr>
    </w:tbl>
    <w:p>
      <w:pPr>
        <w:spacing w:after="40" w:before="0"/>
      </w:pPr>
      <w:r>
        <w:rPr>
          <w:sz w:val="4"/>
        </w:rPr>
        <w:t xml:space="preserve"> </w:t>
      </w:r>
    </w:p>
    <w:tbl>
      <w:tblPr>
        <w:tblW w:type="auto" w:w="0"/>
        <w:tblLayout w:type="fixed"/>
        <w:tblLook w:firstColumn="1" w:firstRow="1" w:lastColumn="0" w:lastRow="0" w:noHBand="0" w:noVBand="1" w:val="04A0"/>
      </w:tblPr>
      <w:tblGrid>
        <w:gridCol w:w="539"/>
        <w:gridCol w:w="9241"/>
      </w:tblGrid>
      <w:tr>
        <w:tc>
          <w:tcPr>
            <w:tcW w:type="dxa" w:w="539"/>
            <w:shd w:val="clear" w:color="auto" w:fill="13283B"/>
            <w:tcBorders>
              <w:top w:val="nil"/>
              <w:left w:val="nil"/>
              <w:bottom w:val="nil"/>
              <w:right w:val="nil"/>
              <w:insideH w:val="nil"/>
              <w:insideV w:val="nil"/>
            </w:tcBorders>
            <w:vAlign w:val="center"/>
            <w:tcMar>
              <w:top w:w="80" w:type="dxa"/>
              <w:bottom w:w="80" w:type="dxa"/>
              <w:left w:w="80" w:type="dxa"/>
              <w:right w:w="80" w:type="dxa"/>
            </w:tcMar>
          </w:tcPr>
          <w:p>
            <w:pPr>
              <w:jc w:val="center"/>
            </w:pPr>
            <w:r>
              <w:rPr>
                <w:b/>
                <w:color w:val="FFFFFF"/>
                <w:sz w:val="28"/>
              </w:rPr>
              <w:t>2</w:t>
            </w:r>
          </w:p>
        </w:tc>
        <w:tc>
          <w:tcPr>
            <w:tcW w:type="dxa" w:w="9241"/>
            <w:tcBorders>
              <w:top w:val="nil"/>
              <w:left w:val="nil"/>
              <w:bottom w:val="nil"/>
              <w:right w:val="nil"/>
              <w:insideH w:val="nil"/>
              <w:insideV w:val="nil"/>
            </w:tcBorders>
            <w:vAlign w:val="top"/>
            <w:tcMar>
              <w:top w:w="80" w:type="dxa"/>
              <w:bottom w:w="80" w:type="dxa"/>
              <w:left w:w="80" w:type="dxa"/>
              <w:right w:w="80" w:type="dxa"/>
            </w:tcMar>
          </w:tcPr>
          <w:p>
            <w:pPr>
              <w:spacing w:after="20"/>
            </w:pPr>
            <w:r>
              <w:rPr>
                <w:b/>
                <w:color w:val="13283B"/>
                <w:sz w:val="21"/>
              </w:rPr>
              <w:t>WHY IT MATTERS — one sentence</w:t>
            </w:r>
          </w:p>
          <w:p>
            <w:pPr>
              <w:spacing w:after="80"/>
            </w:pPr>
            <w:r>
              <w:rPr>
                <w:i/>
                <w:color w:val="6B7280"/>
                <w:sz w:val="17"/>
              </w:rPr>
              <w:t>The single reason this decision is on the table. Frame it in the language of the reader, not the writer.</w:t>
            </w:r>
          </w:p>
          <w:p>
            <w:pPr>
              <w:spacing w:after="0"/>
            </w:pPr>
            <w:r>
              <w:rPr>
                <w:b/>
                <w:color w:val="E8613A"/>
                <w:sz w:val="15"/>
              </w:rPr>
              <w:t xml:space="preserve">EXAMPLE  </w:t>
            </w:r>
            <w:r>
              <w:rPr>
                <w:color w:val="2B3D4F"/>
                <w:sz w:val="19"/>
              </w:rPr>
              <w:t>Our current platform cannot support the SKU growth required by the 2027 European expansion.</w:t>
            </w:r>
          </w:p>
        </w:tc>
      </w:tr>
    </w:tbl>
    <w:p>
      <w:pPr>
        <w:spacing w:after="40" w:before="0"/>
      </w:pPr>
      <w:r>
        <w:rPr>
          <w:sz w:val="4"/>
        </w:rPr>
        <w:t xml:space="preserve"> </w:t>
      </w:r>
    </w:p>
    <w:tbl>
      <w:tblPr>
        <w:tblW w:type="auto" w:w="0"/>
        <w:tblLayout w:type="fixed"/>
        <w:tblLook w:firstColumn="1" w:firstRow="1" w:lastColumn="0" w:lastRow="0" w:noHBand="0" w:noVBand="1" w:val="04A0"/>
      </w:tblPr>
      <w:tblGrid>
        <w:gridCol w:w="539"/>
        <w:gridCol w:w="9241"/>
      </w:tblGrid>
      <w:tr>
        <w:tc>
          <w:tcPr>
            <w:tcW w:type="dxa" w:w="539"/>
            <w:shd w:val="clear" w:color="auto" w:fill="13283B"/>
            <w:tcBorders>
              <w:top w:val="nil"/>
              <w:left w:val="nil"/>
              <w:bottom w:val="nil"/>
              <w:right w:val="nil"/>
              <w:insideH w:val="nil"/>
              <w:insideV w:val="nil"/>
            </w:tcBorders>
            <w:vAlign w:val="center"/>
            <w:tcMar>
              <w:top w:w="80" w:type="dxa"/>
              <w:bottom w:w="80" w:type="dxa"/>
              <w:left w:w="80" w:type="dxa"/>
              <w:right w:w="80" w:type="dxa"/>
            </w:tcMar>
          </w:tcPr>
          <w:p>
            <w:pPr>
              <w:jc w:val="center"/>
            </w:pPr>
            <w:r>
              <w:rPr>
                <w:b/>
                <w:color w:val="FFFFFF"/>
                <w:sz w:val="28"/>
              </w:rPr>
              <w:t>3</w:t>
            </w:r>
          </w:p>
        </w:tc>
        <w:tc>
          <w:tcPr>
            <w:tcW w:type="dxa" w:w="9241"/>
            <w:tcBorders>
              <w:top w:val="nil"/>
              <w:left w:val="nil"/>
              <w:bottom w:val="nil"/>
              <w:right w:val="nil"/>
              <w:insideH w:val="nil"/>
              <w:insideV w:val="nil"/>
            </w:tcBorders>
            <w:vAlign w:val="top"/>
            <w:tcMar>
              <w:top w:w="80" w:type="dxa"/>
              <w:bottom w:w="80" w:type="dxa"/>
              <w:left w:w="80" w:type="dxa"/>
              <w:right w:w="80" w:type="dxa"/>
            </w:tcMar>
          </w:tcPr>
          <w:p>
            <w:pPr>
              <w:spacing w:after="20"/>
            </w:pPr>
            <w:r>
              <w:rPr>
                <w:b/>
                <w:color w:val="13283B"/>
                <w:sz w:val="21"/>
              </w:rPr>
              <w:t>EVIDENCE — two to three sentences</w:t>
            </w:r>
          </w:p>
          <w:p>
            <w:pPr>
              <w:spacing w:after="80"/>
            </w:pPr>
            <w:r>
              <w:rPr>
                <w:i/>
                <w:color w:val="6B7280"/>
                <w:sz w:val="17"/>
              </w:rPr>
              <w:t>The numbers, market signals or operational facts that justify the recommendation. Specifics only. No ranges, no hedges.</w:t>
            </w:r>
          </w:p>
          <w:p>
            <w:pPr>
              <w:spacing w:after="0"/>
            </w:pPr>
            <w:r>
              <w:rPr>
                <w:b/>
                <w:color w:val="E8613A"/>
                <w:sz w:val="15"/>
              </w:rPr>
              <w:t xml:space="preserve">EXAMPLE  </w:t>
            </w:r>
            <w:r>
              <w:rPr>
                <w:color w:val="2B3D4F"/>
                <w:sz w:val="19"/>
              </w:rPr>
              <w:t>Customer acquisition cost has risen 34% in 18 months as competitors run loyalty programmes we cannot replicate. The new platform unlocks personalised pricing for our top quartile, which McKinsey benchmark data shows lifts net revenue by 9 to 12%.</w:t>
            </w:r>
          </w:p>
        </w:tc>
      </w:tr>
    </w:tbl>
    <w:p>
      <w:pPr>
        <w:spacing w:after="40" w:before="0"/>
      </w:pPr>
      <w:r>
        <w:rPr>
          <w:sz w:val="4"/>
        </w:rPr>
        <w:t xml:space="preserve"> </w:t>
      </w:r>
    </w:p>
    <w:tbl>
      <w:tblPr>
        <w:tblW w:type="auto" w:w="0"/>
        <w:tblLayout w:type="fixed"/>
        <w:tblLook w:firstColumn="1" w:firstRow="1" w:lastColumn="0" w:lastRow="0" w:noHBand="0" w:noVBand="1" w:val="04A0"/>
      </w:tblPr>
      <w:tblGrid>
        <w:gridCol w:w="539"/>
        <w:gridCol w:w="9241"/>
      </w:tblGrid>
      <w:tr>
        <w:tc>
          <w:tcPr>
            <w:tcW w:type="dxa" w:w="539"/>
            <w:shd w:val="clear" w:color="auto" w:fill="13283B"/>
            <w:tcBorders>
              <w:top w:val="nil"/>
              <w:left w:val="nil"/>
              <w:bottom w:val="nil"/>
              <w:right w:val="nil"/>
              <w:insideH w:val="nil"/>
              <w:insideV w:val="nil"/>
            </w:tcBorders>
            <w:vAlign w:val="center"/>
            <w:tcMar>
              <w:top w:w="80" w:type="dxa"/>
              <w:bottom w:w="80" w:type="dxa"/>
              <w:left w:w="80" w:type="dxa"/>
              <w:right w:w="80" w:type="dxa"/>
            </w:tcMar>
          </w:tcPr>
          <w:p>
            <w:pPr>
              <w:jc w:val="center"/>
            </w:pPr>
            <w:r>
              <w:rPr>
                <w:b/>
                <w:color w:val="FFFFFF"/>
                <w:sz w:val="28"/>
              </w:rPr>
              <w:t>4</w:t>
            </w:r>
          </w:p>
        </w:tc>
        <w:tc>
          <w:tcPr>
            <w:tcW w:type="dxa" w:w="9241"/>
            <w:tcBorders>
              <w:top w:val="nil"/>
              <w:left w:val="nil"/>
              <w:bottom w:val="nil"/>
              <w:right w:val="nil"/>
              <w:insideH w:val="nil"/>
              <w:insideV w:val="nil"/>
            </w:tcBorders>
            <w:vAlign w:val="top"/>
            <w:tcMar>
              <w:top w:w="80" w:type="dxa"/>
              <w:bottom w:w="80" w:type="dxa"/>
              <w:left w:w="80" w:type="dxa"/>
              <w:right w:w="80" w:type="dxa"/>
            </w:tcMar>
          </w:tcPr>
          <w:p>
            <w:pPr>
              <w:spacing w:after="20"/>
            </w:pPr>
            <w:r>
              <w:rPr>
                <w:b/>
                <w:color w:val="13283B"/>
                <w:sz w:val="21"/>
              </w:rPr>
              <w:t>RISKS AND TRADE-OFFS — two sentences</w:t>
            </w:r>
          </w:p>
          <w:p>
            <w:pPr>
              <w:spacing w:after="80"/>
            </w:pPr>
            <w:r>
              <w:rPr>
                <w:i/>
                <w:color w:val="6B7280"/>
                <w:sz w:val="17"/>
              </w:rPr>
              <w:t>Front-load the bad news. Executives hate surprises more than problems. State the biggest risk and the most credible mitigation.</w:t>
            </w:r>
          </w:p>
          <w:p>
            <w:pPr>
              <w:spacing w:after="0"/>
            </w:pPr>
            <w:r>
              <w:rPr>
                <w:b/>
                <w:color w:val="E8613A"/>
                <w:sz w:val="15"/>
              </w:rPr>
              <w:t xml:space="preserve">EXAMPLE  </w:t>
            </w:r>
            <w:r>
              <w:rPr>
                <w:color w:val="2B3D4F"/>
                <w:sz w:val="19"/>
              </w:rPr>
              <w:t>The migration takes eleven months and creates two quarters of margin pressure. A phased rollout starting with the UK business de-risks the full European cutover.</w:t>
            </w:r>
          </w:p>
        </w:tc>
      </w:tr>
    </w:tbl>
    <w:p>
      <w:pPr>
        <w:spacing w:after="40" w:before="0"/>
      </w:pPr>
      <w:r>
        <w:rPr>
          <w:sz w:val="4"/>
        </w:rPr>
        <w:t xml:space="preserve"> </w:t>
      </w:r>
    </w:p>
    <w:tbl>
      <w:tblPr>
        <w:tblW w:type="auto" w:w="0"/>
        <w:tblLayout w:type="fixed"/>
        <w:tblLook w:firstColumn="1" w:firstRow="1" w:lastColumn="0" w:lastRow="0" w:noHBand="0" w:noVBand="1" w:val="04A0"/>
      </w:tblPr>
      <w:tblGrid>
        <w:gridCol w:w="539"/>
        <w:gridCol w:w="9241"/>
      </w:tblGrid>
      <w:tr>
        <w:tc>
          <w:tcPr>
            <w:tcW w:type="dxa" w:w="539"/>
            <w:shd w:val="clear" w:color="auto" w:fill="13283B"/>
            <w:tcBorders>
              <w:top w:val="nil"/>
              <w:left w:val="nil"/>
              <w:bottom w:val="nil"/>
              <w:right w:val="nil"/>
              <w:insideH w:val="nil"/>
              <w:insideV w:val="nil"/>
            </w:tcBorders>
            <w:vAlign w:val="center"/>
            <w:tcMar>
              <w:top w:w="80" w:type="dxa"/>
              <w:bottom w:w="80" w:type="dxa"/>
              <w:left w:w="80" w:type="dxa"/>
              <w:right w:w="80" w:type="dxa"/>
            </w:tcMar>
          </w:tcPr>
          <w:p>
            <w:pPr>
              <w:jc w:val="center"/>
            </w:pPr>
            <w:r>
              <w:rPr>
                <w:b/>
                <w:color w:val="FFFFFF"/>
                <w:sz w:val="28"/>
              </w:rPr>
              <w:t>5</w:t>
            </w:r>
          </w:p>
        </w:tc>
        <w:tc>
          <w:tcPr>
            <w:tcW w:type="dxa" w:w="9241"/>
            <w:tcBorders>
              <w:top w:val="nil"/>
              <w:left w:val="nil"/>
              <w:bottom w:val="nil"/>
              <w:right w:val="nil"/>
              <w:insideH w:val="nil"/>
              <w:insideV w:val="nil"/>
            </w:tcBorders>
            <w:vAlign w:val="top"/>
            <w:tcMar>
              <w:top w:w="80" w:type="dxa"/>
              <w:bottom w:w="80" w:type="dxa"/>
              <w:left w:w="80" w:type="dxa"/>
              <w:right w:w="80" w:type="dxa"/>
            </w:tcMar>
          </w:tcPr>
          <w:p>
            <w:pPr>
              <w:spacing w:after="20"/>
            </w:pPr>
            <w:r>
              <w:rPr>
                <w:b/>
                <w:color w:val="13283B"/>
                <w:sz w:val="21"/>
              </w:rPr>
              <w:t>ACTION REQUIRED — one sentence</w:t>
            </w:r>
          </w:p>
          <w:p>
            <w:pPr>
              <w:spacing w:after="80"/>
            </w:pPr>
            <w:r>
              <w:rPr>
                <w:i/>
                <w:color w:val="6B7280"/>
                <w:sz w:val="17"/>
              </w:rPr>
              <w:t>What you need from the reader, by when and from whom. Approval, signature, capital, vendor selection. Make the next step impossible to misread.</w:t>
            </w:r>
          </w:p>
          <w:p>
            <w:pPr>
              <w:spacing w:after="0"/>
            </w:pPr>
            <w:r>
              <w:rPr>
                <w:b/>
                <w:color w:val="E8613A"/>
                <w:sz w:val="15"/>
              </w:rPr>
              <w:t xml:space="preserve">EXAMPLE  </w:t>
            </w:r>
            <w:r>
              <w:rPr>
                <w:color w:val="2B3D4F"/>
                <w:sz w:val="19"/>
              </w:rPr>
              <w:t>We are seeking Board approval at the 15 July session to allocate £12M to the FY26 budget and authorise vendor selection.</w:t>
            </w:r>
          </w:p>
        </w:tc>
      </w:tr>
    </w:tbl>
    <w:p>
      <w:pPr>
        <w:spacing w:after="40" w:before="0"/>
      </w:pPr>
      <w:r>
        <w:rPr>
          <w:sz w:val="4"/>
        </w:rPr>
        <w:t xml:space="preserve"> </w:t>
      </w:r>
    </w:p>
    <w:tbl>
      <w:tblPr>
        <w:tblW w:type="auto" w:w="0"/>
        <w:tblLook w:firstColumn="1" w:firstRow="1" w:lastColumn="0" w:lastRow="0" w:noHBand="0" w:noVBand="1" w:val="04A0"/>
      </w:tblPr>
      <w:tblGrid>
        <w:gridCol w:w="10426"/>
      </w:tblGrid>
      <w:tr>
        <w:tc>
          <w:tcPr>
            <w:tcW w:type="dxa" w:w="9751"/>
            <w:shd w:val="clear" w:color="auto" w:fill="13283B"/>
            <w:tcBorders>
              <w:top w:val="nil"/>
              <w:left w:val="nil"/>
              <w:bottom w:val="nil"/>
              <w:right w:val="nil"/>
              <w:insideH w:val="nil"/>
              <w:insideV w:val="nil"/>
            </w:tcBorders>
            <w:tcMar>
              <w:top w:w="180" w:type="dxa"/>
              <w:bottom w:w="180" w:type="dxa"/>
              <w:left w:w="220" w:type="dxa"/>
              <w:right w:w="220" w:type="dxa"/>
            </w:tcMar>
          </w:tcPr>
          <w:p>
            <w:pPr>
              <w:spacing w:after="120"/>
            </w:pPr>
            <w:r>
              <w:rPr>
                <w:b/>
                <w:color w:val="E8613A"/>
                <w:sz w:val="18"/>
              </w:rPr>
              <w:t>FINAL CHECKLIST BEFORE YOU SEND IT</w:t>
            </w:r>
          </w:p>
          <w:p>
            <w:pPr>
              <w:spacing w:after="40"/>
              <w:ind w:left="160"/>
            </w:pPr>
            <w:r>
              <w:rPr>
                <w:b/>
                <w:color w:val="E8613A"/>
                <w:sz w:val="19"/>
              </w:rPr>
              <w:t xml:space="preserve">  </w:t>
            </w:r>
            <w:r>
              <w:rPr>
                <w:b/>
                <w:color w:val="E8613A"/>
                <w:sz w:val="19"/>
              </w:rPr>
              <w:t xml:space="preserve">✓  </w:t>
            </w:r>
            <w:r>
              <w:rPr>
                <w:color w:val="F9F8F4"/>
                <w:sz w:val="18"/>
              </w:rPr>
              <w:t>Total length 250 to 500 words</w:t>
            </w:r>
          </w:p>
          <w:p>
            <w:pPr>
              <w:spacing w:after="40"/>
              <w:ind w:left="160"/>
            </w:pPr>
            <w:r>
              <w:rPr>
                <w:b/>
                <w:color w:val="E8613A"/>
                <w:sz w:val="19"/>
              </w:rPr>
              <w:t xml:space="preserve">  </w:t>
            </w:r>
            <w:r>
              <w:rPr>
                <w:b/>
                <w:color w:val="E8613A"/>
                <w:sz w:val="19"/>
              </w:rPr>
              <w:t xml:space="preserve">✓  </w:t>
            </w:r>
            <w:r>
              <w:rPr>
                <w:color w:val="F9F8F4"/>
                <w:sz w:val="18"/>
              </w:rPr>
              <w:t>First sentence is the recommendation</w:t>
            </w:r>
          </w:p>
          <w:p>
            <w:pPr>
              <w:spacing w:after="40"/>
              <w:ind w:left="160"/>
            </w:pPr>
            <w:r>
              <w:rPr>
                <w:b/>
                <w:color w:val="E8613A"/>
                <w:sz w:val="19"/>
              </w:rPr>
              <w:t xml:space="preserve">  </w:t>
            </w:r>
            <w:r>
              <w:rPr>
                <w:b/>
                <w:color w:val="E8613A"/>
                <w:sz w:val="19"/>
              </w:rPr>
              <w:t xml:space="preserve">✓  </w:t>
            </w:r>
            <w:r>
              <w:rPr>
                <w:color w:val="F9F8F4"/>
                <w:sz w:val="18"/>
              </w:rPr>
              <w:t>Every paragraph passes the "so what?" test</w:t>
            </w:r>
          </w:p>
          <w:p>
            <w:pPr>
              <w:spacing w:after="40"/>
              <w:ind w:left="160"/>
            </w:pPr>
            <w:r>
              <w:rPr>
                <w:b/>
                <w:color w:val="E8613A"/>
                <w:sz w:val="19"/>
              </w:rPr>
              <w:t xml:space="preserve">  </w:t>
            </w:r>
            <w:r>
              <w:rPr>
                <w:b/>
                <w:color w:val="E8613A"/>
                <w:sz w:val="19"/>
              </w:rPr>
              <w:t xml:space="preserve">✓  </w:t>
            </w:r>
            <w:r>
              <w:rPr>
                <w:color w:val="F9F8F4"/>
                <w:sz w:val="18"/>
              </w:rPr>
              <w:t>Numbers are specific, not ranges</w:t>
            </w:r>
          </w:p>
          <w:p>
            <w:pPr>
              <w:spacing w:after="40"/>
              <w:ind w:left="160"/>
            </w:pPr>
            <w:r>
              <w:rPr>
                <w:b/>
                <w:color w:val="E8613A"/>
                <w:sz w:val="19"/>
              </w:rPr>
              <w:t xml:space="preserve">  </w:t>
            </w:r>
            <w:r>
              <w:rPr>
                <w:b/>
                <w:color w:val="E8613A"/>
                <w:sz w:val="19"/>
              </w:rPr>
              <w:t xml:space="preserve">✓  </w:t>
            </w:r>
            <w:r>
              <w:rPr>
                <w:color w:val="F9F8F4"/>
                <w:sz w:val="18"/>
              </w:rPr>
              <w:t>Bad news appears here, not buried</w:t>
            </w:r>
          </w:p>
          <w:p>
            <w:pPr>
              <w:spacing w:after="40"/>
              <w:ind w:left="160"/>
            </w:pPr>
            <w:r>
              <w:rPr>
                <w:b/>
                <w:color w:val="E8613A"/>
                <w:sz w:val="19"/>
              </w:rPr>
              <w:t xml:space="preserve">  </w:t>
            </w:r>
            <w:r>
              <w:rPr>
                <w:b/>
                <w:color w:val="E8613A"/>
                <w:sz w:val="19"/>
              </w:rPr>
              <w:t xml:space="preserve">✓  </w:t>
            </w:r>
            <w:r>
              <w:rPr>
                <w:color w:val="F9F8F4"/>
                <w:sz w:val="18"/>
              </w:rPr>
              <w:t>No passive voice. Every action has an owner</w:t>
            </w:r>
          </w:p>
          <w:p>
            <w:pPr>
              <w:spacing w:after="40"/>
              <w:ind w:left="160"/>
            </w:pPr>
            <w:r>
              <w:rPr>
                <w:b/>
                <w:color w:val="E8613A"/>
                <w:sz w:val="19"/>
              </w:rPr>
              <w:t xml:space="preserve">  </w:t>
            </w:r>
            <w:r>
              <w:rPr>
                <w:b/>
                <w:color w:val="E8613A"/>
                <w:sz w:val="19"/>
              </w:rPr>
              <w:t xml:space="preserve">✓  </w:t>
            </w:r>
            <w:r>
              <w:rPr>
                <w:color w:val="F9F8F4"/>
                <w:sz w:val="18"/>
              </w:rPr>
              <w:t>Anyone in the room could decide from this page</w:t>
            </w:r>
          </w:p>
          <w:p>
            <w:pPr>
              <w:spacing w:after="40"/>
              <w:ind w:left="160"/>
            </w:pPr>
            <w:r>
              <w:rPr>
                <w:b/>
                <w:color w:val="E8613A"/>
                <w:sz w:val="19"/>
              </w:rPr>
              <w:t xml:space="preserve">  </w:t>
            </w:r>
            <w:r>
              <w:rPr>
                <w:b/>
                <w:color w:val="E8613A"/>
                <w:sz w:val="19"/>
              </w:rPr>
              <w:t xml:space="preserve">✓  </w:t>
            </w:r>
            <w:r>
              <w:rPr>
                <w:color w:val="F9F8F4"/>
                <w:sz w:val="18"/>
              </w:rPr>
              <w:t>Written last, after the full document</w:t>
            </w:r>
          </w:p>
        </w:tc>
      </w:tr>
    </w:tbl>
    <w:p>
      <w:pPr>
        <w:spacing w:after="40"/>
      </w:pPr>
    </w:p>
    <w:p>
      <w:r>
        <w:rPr>
          <w:i/>
          <w:color w:val="6B7280"/>
          <w:sz w:val="17"/>
        </w:rPr>
        <w:t>Created by Dan Ilett. Full guide and worked examples at theexecutivesummary.com/frameworks/how-to-write-an-executive-summary/</w:t>
      </w:r>
    </w:p>
    <w:sectPr w:rsidR="00FC693F" w:rsidRPr="0006063C" w:rsidSect="00034616">
      <w:pgSz w:w="12240" w:h="15840"/>
      <w:pgMar w:top="850" w:right="907" w:bottom="85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pPr>
    <w:rPr>
      <w:rFonts w:ascii="Calibri" w:hAnsi="Calibri"/>
      <w:color w:val="1A233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